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2588">
        <w:rPr>
          <w:rFonts w:ascii="Arial" w:hAnsi="Arial" w:cs="Arial"/>
          <w:b/>
          <w:sz w:val="20"/>
        </w:rPr>
        <w:t>), i)</w:t>
      </w:r>
      <w:r w:rsidR="0028495B" w:rsidRPr="006C2588">
        <w:rPr>
          <w:rFonts w:ascii="Arial" w:hAnsi="Arial" w:cs="Arial"/>
          <w:b/>
          <w:sz w:val="20"/>
        </w:rPr>
        <w:t>, j),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28495B">
        <w:rPr>
          <w:rFonts w:ascii="Arial" w:hAnsi="Arial" w:cs="Arial"/>
          <w:b/>
          <w:sz w:val="20"/>
        </w:rPr>
        <w:t xml:space="preserve">a l)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66A38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66A38" w:rsidRPr="003E206A" w:rsidRDefault="00966A38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8" w:rsidRDefault="00966A38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966A38" w:rsidRPr="00532181" w:rsidRDefault="00966A38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966A38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66A38" w:rsidRPr="003E206A" w:rsidRDefault="00966A38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8" w:rsidRPr="00532181" w:rsidRDefault="00966A38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966A38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66A38" w:rsidRPr="003E206A" w:rsidRDefault="00966A38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8" w:rsidRPr="00532181" w:rsidRDefault="00966A38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EE292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3E206A" w:rsidRPr="003E206A" w:rsidRDefault="003E206A" w:rsidP="003E206A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BA325F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325F" w:rsidRPr="003E206A" w:rsidRDefault="00BA325F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25F" w:rsidRPr="00893052" w:rsidRDefault="00BA325F" w:rsidP="004519D2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>Komplexní p</w:t>
            </w:r>
            <w:r>
              <w:rPr>
                <w:b/>
              </w:rPr>
              <w:t>ozemkové úpravy v </w:t>
            </w:r>
            <w:proofErr w:type="spellStart"/>
            <w:proofErr w:type="gramStart"/>
            <w:r>
              <w:rPr>
                <w:b/>
              </w:rPr>
              <w:t>k.ú</w:t>
            </w:r>
            <w:proofErr w:type="spellEnd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Šestajovice</w:t>
            </w:r>
          </w:p>
        </w:tc>
      </w:tr>
      <w:tr w:rsidR="00BA325F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325F" w:rsidRPr="003E206A" w:rsidRDefault="00BA325F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3E206A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3E206A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3E206A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3E206A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25F" w:rsidRPr="00532181" w:rsidRDefault="00BA325F" w:rsidP="004519D2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640FC4">
              <w:rPr>
                <w:b/>
              </w:rPr>
              <w:t>2VZ780</w:t>
            </w:r>
            <w:r>
              <w:rPr>
                <w:b/>
              </w:rPr>
              <w:t>2</w:t>
            </w:r>
            <w:r w:rsidRPr="00640FC4">
              <w:rPr>
                <w:b/>
              </w:rPr>
              <w:t>/2016-514101</w:t>
            </w:r>
            <w:r>
              <w:rPr>
                <w:b/>
              </w:rPr>
              <w:t xml:space="preserve">   /   640145</w:t>
            </w:r>
            <w:proofErr w:type="gramEnd"/>
          </w:p>
        </w:tc>
      </w:tr>
      <w:tr w:rsidR="00BA325F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A325F" w:rsidRPr="003E206A" w:rsidRDefault="00BA325F" w:rsidP="003E206A">
            <w:pPr>
              <w:rPr>
                <w:b/>
                <w:i/>
              </w:rPr>
            </w:pPr>
            <w:r w:rsidRPr="003E206A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25F" w:rsidRPr="003E206A" w:rsidRDefault="00BA325F" w:rsidP="00966A3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 xml:space="preserve">písm. c) </w:t>
      </w:r>
      <w:proofErr w:type="gramStart"/>
      <w:r w:rsidR="006C4D31" w:rsidRPr="006C4D31">
        <w:rPr>
          <w:rFonts w:ascii="Arial" w:hAnsi="Arial" w:cs="Arial"/>
        </w:rPr>
        <w:t>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</w:t>
      </w:r>
      <w:r w:rsidR="006C4D31" w:rsidRPr="006C2588">
        <w:rPr>
          <w:rFonts w:ascii="Arial" w:hAnsi="Arial" w:cs="Arial"/>
        </w:rPr>
        <w:t>), i)</w:t>
      </w:r>
      <w:r w:rsidR="00064655" w:rsidRPr="006C2588">
        <w:rPr>
          <w:rFonts w:ascii="Arial" w:hAnsi="Arial" w:cs="Arial"/>
        </w:rPr>
        <w:t>, j),</w:t>
      </w:r>
      <w:r w:rsidR="00064655">
        <w:rPr>
          <w:rFonts w:ascii="Arial" w:hAnsi="Arial" w:cs="Arial"/>
        </w:rPr>
        <w:t xml:space="preserve"> </w:t>
      </w:r>
      <w:r w:rsidR="006C4D31" w:rsidRPr="006C4D31">
        <w:rPr>
          <w:rFonts w:ascii="Arial" w:hAnsi="Arial" w:cs="Arial"/>
        </w:rPr>
        <w:t xml:space="preserve"> k)</w:t>
      </w:r>
      <w:r w:rsidR="006C4D31">
        <w:rPr>
          <w:rFonts w:ascii="Arial" w:hAnsi="Arial" w:cs="Arial"/>
          <w:b/>
        </w:rPr>
        <w:t xml:space="preserve"> </w:t>
      </w:r>
      <w:r w:rsidR="00064655" w:rsidRPr="00064655">
        <w:rPr>
          <w:rFonts w:ascii="Arial" w:hAnsi="Arial" w:cs="Arial"/>
        </w:rPr>
        <w:t>a l)</w:t>
      </w:r>
      <w:r w:rsidR="00064655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>zákona</w:t>
      </w:r>
      <w:proofErr w:type="gramEnd"/>
      <w:r w:rsidR="00B269D4">
        <w:rPr>
          <w:rFonts w:ascii="Arial" w:hAnsi="Arial" w:cs="Arial"/>
          <w:color w:val="000000"/>
        </w:rPr>
        <w:t xml:space="preserve">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</w:t>
      </w:r>
      <w:r w:rsidR="00966A38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</w:t>
      </w:r>
      <w:r w:rsidR="00966A38">
        <w:rPr>
          <w:rFonts w:ascii="Arial" w:hAnsi="Arial" w:cs="Arial"/>
          <w:sz w:val="20"/>
          <w:szCs w:val="20"/>
        </w:rPr>
        <w:t> </w:t>
      </w:r>
      <w:r w:rsidR="0058150C" w:rsidRPr="00C310D3">
        <w:rPr>
          <w:rFonts w:ascii="Arial" w:hAnsi="Arial" w:cs="Arial"/>
          <w:sz w:val="20"/>
          <w:szCs w:val="20"/>
        </w:rPr>
        <w:t xml:space="preserve">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</w:t>
      </w:r>
      <w:r w:rsidR="00966A38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 53 odst. 1 písm.</w:t>
      </w:r>
      <w:r w:rsidR="00966A38">
        <w:rPr>
          <w:rFonts w:ascii="Arial" w:hAnsi="Arial" w:cs="Arial"/>
          <w:sz w:val="20"/>
          <w:szCs w:val="20"/>
        </w:rPr>
        <w:t> 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6C2588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6C2588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6C2588">
        <w:rPr>
          <w:rFonts w:ascii="Arial" w:hAnsi="Arial" w:cs="Arial"/>
          <w:sz w:val="20"/>
          <w:szCs w:val="20"/>
        </w:rPr>
        <w:t>,</w:t>
      </w:r>
      <w:r w:rsidRPr="006C2588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6C2588">
        <w:rPr>
          <w:rFonts w:ascii="Arial" w:hAnsi="Arial" w:cs="Arial"/>
          <w:sz w:val="20"/>
          <w:szCs w:val="20"/>
        </w:rPr>
        <w:t xml:space="preserve"> (§ 53 odst. 1 písm. i) zákona)</w:t>
      </w:r>
      <w:r w:rsidRPr="006C2588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BF780F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2D5EBB" w:rsidRPr="00D40D0E" w:rsidRDefault="002D5EBB" w:rsidP="002D5EBB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D5EBB">
        <w:rPr>
          <w:rFonts w:ascii="Arial" w:hAnsi="Arial" w:cs="Arial"/>
          <w:sz w:val="20"/>
          <w:szCs w:val="20"/>
        </w:rPr>
        <w:lastRenderedPageBreak/>
        <w:t>vůči němuž nebyla v posledních 3 letech zavedena dočasná správa nebo v posledních 3</w:t>
      </w:r>
      <w:r w:rsidR="00966A38">
        <w:rPr>
          <w:rFonts w:ascii="Arial" w:hAnsi="Arial" w:cs="Arial"/>
          <w:sz w:val="20"/>
          <w:szCs w:val="20"/>
        </w:rPr>
        <w:t> </w:t>
      </w:r>
      <w:r w:rsidRPr="002D5EBB">
        <w:rPr>
          <w:rFonts w:ascii="Arial" w:hAnsi="Arial" w:cs="Arial"/>
          <w:sz w:val="20"/>
          <w:szCs w:val="20"/>
        </w:rPr>
        <w:t>letech uplatněno opatření k řešení krize podle zákona upravujícího ozdravné postupy a</w:t>
      </w:r>
      <w:r>
        <w:rPr>
          <w:rFonts w:ascii="Arial" w:hAnsi="Arial" w:cs="Arial"/>
          <w:sz w:val="20"/>
          <w:szCs w:val="20"/>
        </w:rPr>
        <w:t xml:space="preserve"> řešení krize na finančním trhu (§</w:t>
      </w:r>
      <w:r w:rsidR="006C25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53 odst. 1 písm. l zákona).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AF5" w:rsidRDefault="004F6AF5" w:rsidP="008E4AD5">
      <w:r>
        <w:separator/>
      </w:r>
    </w:p>
  </w:endnote>
  <w:endnote w:type="continuationSeparator" w:id="0">
    <w:p w:rsidR="004F6AF5" w:rsidRDefault="004F6AF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D70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A325F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AF5" w:rsidRDefault="004F6AF5" w:rsidP="008E4AD5">
      <w:r>
        <w:separator/>
      </w:r>
    </w:p>
  </w:footnote>
  <w:footnote w:type="continuationSeparator" w:id="0">
    <w:p w:rsidR="004F6AF5" w:rsidRDefault="004F6AF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966A38">
      <w:t xml:space="preserve"> 7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34E0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64655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95B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5EBB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4F6AF5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2588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971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6A38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25F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5A6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92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8408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78AED1-FB8F-4D33-A5F5-7E9B4AA02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475</Words>
  <Characters>2551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Lukešová Simona JUDr.</dc:creator>
  <cp:lastModifiedBy>Žáková Petra Ing.</cp:lastModifiedBy>
  <cp:revision>4</cp:revision>
  <cp:lastPrinted>2012-03-30T11:12:00Z</cp:lastPrinted>
  <dcterms:created xsi:type="dcterms:W3CDTF">2016-01-07T06:26:00Z</dcterms:created>
  <dcterms:modified xsi:type="dcterms:W3CDTF">2016-06-27T14:50:00Z</dcterms:modified>
</cp:coreProperties>
</file>